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51 vom 24. September 2021</w:t>
      </w:r>
    </w:p>
    <w:p>
      <w:r>
        <w:t>GR Gerichte, 2021-09-24, DE</w:t>
      </w:r>
    </w:p>
    <w:p>
      <w:r>
        <w:rPr>
          <w:b/>
        </w:rPr>
        <w:t xml:space="preserve">Quelle: </w:t>
      </w:r>
      <w:r>
        <w:t>https://mcp.opencaselaw.ch/entscheid/gr_gerichte_KSK 2021 51</w:t>
      </w:r>
    </w:p>
    <w:p>
      <w:r>
        <w:t>FR: GR_GERICHTE KSK 2021 51 du 24 septembre 2021</w:t>
      </w:r>
    </w:p>
    <w:p>
      <w:r>
        <w:t>IT: GR_GERICHTE KSK 2021 51 del 24 settembre 2021</w:t>
      </w:r>
    </w:p>
    <w:p>
      <w:pPr>
        <w:pStyle w:val="Heading2"/>
      </w:pPr>
      <w:r>
        <w:t>Regeste</w:t>
      </w:r>
    </w:p>
    <w:p>
      <w:r>
        <w:t>Nichtigkeit Pfändungsauftrag | Aufsicht Beschwerde (SchKG 17 Abs. 1)</w:t>
      </w:r>
    </w:p>
    <w:p>
      <w:pPr>
        <w:pStyle w:val="Heading2"/>
      </w:pPr>
      <w:r>
        <w:t>Erwägungen</w:t>
      </w:r>
    </w:p>
    <w:p>
      <w:r>
        <w:rPr>
          <w:b/>
        </w:rPr>
        <w:t>E. 13</w:t>
      </w:r>
    </w:p>
    <w:p>
      <w:r>
        <w:t>EGzSchKG</w:t>
      </w:r>
    </w:p>
    <w:p>
      <w:r>
        <w:t>[BR 220.000]). Der Begriff "Gesetz" im Sinne von Art. 17 SchKG ist dabei weit auszulegen, sodass auch Verordnungen, Reglemente und Weisungen des Voll- streckungsrechts mitgemeint sind (Philippe Maier/Ivan Vagnato, in: Kren Kostki- ewicz/Vock [Hrsg.], Kommentar zum Bundesgesetz über Schuldbetreibung und Konkurs, 4. Aufl., Zürich 2017, N 20 zu Art. 17 SchKG). In jedem Fall können aber lediglich Verfahrensfehler gerügt werden; über materiell-rechtliche Fragen wird im Beschwerdeverfahren grundsätzlich nicht entschieden (vgl. BGer 7B.11/2002 v. 5.3.2002 E. 3a). Die Pfändungsankündigung vom 10. August 2021 ist dem Be- schwerdeführer am 12. August 2021 zugestellt worden. Da der letzte Tag der 10- tägigen Frist auf den Sonntag, 22. August 2021, fiel, endete sie am folgenden Werktag, am Montag, 23. August 2021 (vgl. Art. 142 Abs. 3 ZPO i.V.m. Art. 31 SchKG). Die Beschwerde erweist sich daher als frist- und formgerecht. 1.2. Das Verfahren vor der Aufsichtsbehörde richtet sich prinzipiell nach den kantonalen Verfahrensbestimmungen (Art. 20a Abs. 3 SchKG), wobei die bundes- rechtlichen Minimalvorschriften zu beachten sind (Art. 20a Abs. 2 Ziff. 1-5 SchKG). Letztere geben unter anderem vor, dass die Aufsichtsbehörde den Sachverhalt von Amtes wegen festzustellen hat (Art. 20a Abs. 2 Ziff. 2 SchKG). Die damit ge- setzlich festgeschriebene Untersuchungsmaxime verpflichtet die kantonale Auf- sichtsbehörde, das Verfahren zu leiten, die rechtserheblichen Tatsachen und er- forderlichen Beweismittel zu bezeichnen, die Beweise zu erheben und sie zu wür- digen. Sie hat die relevanten Tatsachen selbst festzustellen. Die Beweise sind durch die Aufsichtsbehörde frei zu würdigen (Art. 20a Abs. 2 Ziff. 3 SchKG) und sie darf unter Vorbehalt der Nichtigkeit der Verfügung nicht über die Anträge der Parteien hinausgehen (sog. Dispositionsmaxime; vgl. Art. 20a Abs. 2 Ziff. 3, 2. Teilsatz SchKG). Der Beschwerdeentscheid hat sodann begründet und mit ei- ner Rechtsmittelbelehrung zu erfolgen und ist den Parteien, dem betroffenen Amt sowie den allfällig weiteren Beteiligten schriftlich zu eröffnen (Ziff. 4). Das Verfah- ren vor der Aufsichtsbehörde ist sodann grundsätzlich kostenlos (Ziff. 5). Ein Par- teivortritt findet im Verfahren vor der Aufsichtsbehörde nicht statt (Art. 17 Abs. 3 EGzSchKG). Im Übrigen finden die Bestimmungen der Zivilprozessordnung auf das aufsichtsrechtliche Beschwerdeverfahren – im Sinne kantonalen Verfahrens- rechts – sinngemässe Anwendung (Art. 17 Abs. 4 EGzSchKG). 2.1. Anfechtbar sind Verfügungen oder Beschlüsse des Vollstreckungsorgans, also konkrete Anordnungen der zuständigen Behörde, welche das Vollstreckungs- verfahren weiterführen und dementsprechend gegen aussen in Erscheinung tre- ten. Es muss sich um eine individuell-konkrete Anordnung der zuständigen Voll- streckungsbehörde handeln, welche einen bestimmten Sachverhalt betrifft. Mit der</w:t>
      </w:r>
    </w:p>
    <w:p>
      <w:r>
        <w:t>Anordnung muss das Vollstreckungsverfahren vorangetrieben oder gestoppt wer- den und die Rechtsstellung der vom Verfahren betroffenen Person beeinträchtigt werden (Maier/Vagnato, a.a.O., N 14 zu Art. 17 SchKG). Blosse Bestätigungen oder Wiederholungen von bereits getroffenen Anordnungen der Vollstreckungs- behörde sind nicht anfechtbar (Maier/Vagnato, a.a.O., N 16 zu Art. 17 SchKG). 2.2. Der Pfändungsauftrag vom 6. August 2021 ist für sich alleine kein taugli- ches Anfechtungsobjekt. Mit diesem Pfändungsauftrag wurde lediglich der bereits mit rechtskräftiger Pfändungsankündigung vom 20. Januar 2021 angekündigte Vollzug der Pfändung rechtshilfeweise an das Betreibungsamt Rapperswil-Jona übertragen. Die Rechtsstellung des Beschwerdeführers wurde dadurch nicht be- einträchtigt, da es grundsätzlich für den Beschwerdeführer keine Rolle spielt, ob die Pfändung durch das Betreibungsamt Bernina oder das Betreibungsamt Rap- perswil-Jona vollzogen wird. Im Gegenteil, mit Schreiben vom 6. Mai 2021 hat der Beschwerdeführer das Betreibungsamt Bernina sogar ausdrücklich darum gebe- ten, das Betreibungsamt Rapperswil-Jona mit der Pfändung zu beauftragen (BA act. 11). Dasselbe gilt für das Schreiben des Betreibungsamts Rapperswil-Jona vom 17. August 2021. Darin bestätigte das besagte Amt lediglich, an der Pfän- dungsankündigung vom 10. August 2021 festzuhalten. Eine anfechtbare Betrei- bungshandlung stellt somit lediglich die Pfändungsankündigung vom 10. August 2021 des Betreibungsamts Rapperswil-Jona dar. Diese ist – wie die Beschwerde- gegnerin in ihrer Stellungnahme zu Recht ausführt – bereits Gegenstand des Be- schwerdeverfahrens KSK 21 49 vor dem Kantonsgericht. Folglich hat die Be- schwerdegegnerin zutreffend die Einrede der Litispendenz erhoben. Auf die Be- schwerde betreffend Rechtsfehlerhaftigkeit bzw. Unangemessenheit der Pfän- dungsankündigung kann somit im vorliegenden Verfahren KSK 21 51 nicht einge- treten werden (vgl. Art. 59 ZPO). 3. Nur am Rande sei erwähnt, dass die vom Beschwerdeführer aufgeworfene Frage der Nichtigkeit der Pfändung – und sonst alle damit verbundenen Betrei- bungshandlungen – bereits im Verfahren KSK 21 49 behandelt wurden und grundsätzlich auf die Ausführungen im fraglichen Entscheid verwiesen werden kann. Die vorliegend umstrittene Pfändungsankündigung bzw. die Pfändung beru- hen auf einem Fortsetzungsbegehren der Beschwerdegegnerin, welches sich auf einen rechtskräftigen Rechtsöffnungsentscheid des Bezirksgerichts Zürich stützt, der vom Obergericht Zürich und vom Bundesgericht geschützt wurde. An der Rechtskraft dieses Urteils vermögen die vom Beschwerdeführer auch im Verfah- ren KSK 21 51 vorgebrachten hängigen Verfahren (Restitutionsklage am Landge- richt Traunstein, Beschwerdeverfahren bei der Generalstaatsanwaltschaft Mün-</w:t>
      </w:r>
    </w:p>
    <w:p>
      <w:r>
        <w:t>chen) nichts zu ändern. Von einem klaren Vollstreckungshindernis, wie der Be- schwerdeführer es geltend macht, kann keine Rede sein. Die blosse Einreichung von Revisions- bzw. Restitutionsbegehren oder von Beschwerden gegen einge- stellte Strafverfahren vermag an der Vollstreckbarkeit rechtskräftiger Entscheide nichts zu ändern. Hinzu kommt, dass es sich bei der Restitutionsklage um ein ausserordentliches Rechtsmittel handelt. Die vom Beschwerdeführer angeführte Beschwerde ans Kantonsgericht gegen die Abweisung des Gesuchs auf einver- nehmliche private Schuldenbereinigung wurde mit Entscheid vom 13. September 2021 zudem abgewiesen (KGer GR KSK 21 44). Stützt sich das Fortsetzungsbe- gehren der Beschwerdegegnerin aber auf einen rechtskräftigen definitiven Rechtsöffnungsentscheid, kann im Vorgehen des Betreibungsamtes Bernina keine nichtige Betreibungshandlung im Sinne von Art. 22 SchKG erkannt werden. Die Aufsichtsbehörde sieht daher auch im vorliegenden Fall keinen Anlass, von Amtes wegen eine Nichtigkeit der angefochtenen Betreibungshandlung festzustellen. 4. Gemäss Art. 20a Abs. 2 Ziff. 5 Satz 1 SchKG und Art. 61 Abs. 2 lit. a GebV ist das Beschwerdeverfahren vor der kantonalen Aufsichtsbehörde kostenlos. Von der von der Beschwerdegegnerin beantragten Auferlegung einer Busse und der Gebühren und Auslagen an den Beschwerdeführer infolge böswilliger oder mutwil- liger Prozessführung im Sinne von Art. 20 Abs. 2 Ziff. 5 SchKG wird abgesehen, zumal kein erheblicher Verfahrensaufwand entstanden ist. Die – rein intern zu verbuchenden – Verfahrenskosten von CHF 800.00 verbleiben demnach beim Kanton Graubünden. 5. Im Beschwerdeverfahren nach den Art. 17 ff. SchKG darf keine Parteien- tschädigung zugesprochen werden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